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A1" w:rsidRPr="00F3059A" w:rsidRDefault="00317CA1" w:rsidP="00317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bookmarkStart w:id="0" w:name="_GoBack"/>
      <w:bookmarkEnd w:id="0"/>
      <w:r w:rsidRPr="00F3059A">
        <w:rPr>
          <w:rFonts w:ascii="Arial" w:hAnsi="Arial" w:cs="Arial"/>
          <w:b/>
          <w:bCs/>
          <w:sz w:val="36"/>
        </w:rPr>
        <w:t>Ways to Use VIA Character Strengths</w:t>
      </w:r>
    </w:p>
    <w:p w:rsidR="00317CA1" w:rsidRPr="00F3059A" w:rsidRDefault="00317CA1" w:rsidP="00317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Tayyab</w:t>
      </w:r>
      <w:proofErr w:type="spellEnd"/>
      <w:r w:rsidRPr="00F3059A">
        <w:rPr>
          <w:rFonts w:ascii="Arial" w:hAnsi="Arial" w:cs="Arial"/>
          <w:b/>
          <w:bCs/>
        </w:rPr>
        <w:t xml:space="preserve"> Rashid, Ph.D., University of Toronto Scarborough, Canada</w:t>
      </w:r>
    </w:p>
    <w:p w:rsidR="00317CA1" w:rsidRPr="00F3059A" w:rsidRDefault="00317CA1" w:rsidP="00317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Afroze</w:t>
      </w:r>
      <w:proofErr w:type="spellEnd"/>
      <w:r w:rsidRPr="00F3059A">
        <w:rPr>
          <w:rFonts w:ascii="Arial" w:hAnsi="Arial" w:cs="Arial"/>
          <w:b/>
          <w:bCs/>
        </w:rPr>
        <w:t xml:space="preserve"> </w:t>
      </w:r>
      <w:proofErr w:type="spellStart"/>
      <w:r w:rsidRPr="00F3059A">
        <w:rPr>
          <w:rFonts w:ascii="Arial" w:hAnsi="Arial" w:cs="Arial"/>
          <w:b/>
          <w:bCs/>
        </w:rPr>
        <w:t>Anjum</w:t>
      </w:r>
      <w:proofErr w:type="spellEnd"/>
      <w:r w:rsidRPr="00F3059A">
        <w:rPr>
          <w:rFonts w:ascii="Arial" w:hAnsi="Arial" w:cs="Arial"/>
          <w:b/>
          <w:bCs/>
        </w:rPr>
        <w:t xml:space="preserve">, </w:t>
      </w:r>
      <w:proofErr w:type="spellStart"/>
      <w:r w:rsidRPr="00F3059A">
        <w:rPr>
          <w:rFonts w:ascii="Arial" w:hAnsi="Arial" w:cs="Arial"/>
          <w:b/>
          <w:bCs/>
        </w:rPr>
        <w:t>Psych.D</w:t>
      </w:r>
      <w:proofErr w:type="spellEnd"/>
      <w:r w:rsidRPr="00F3059A">
        <w:rPr>
          <w:rFonts w:ascii="Arial" w:hAnsi="Arial" w:cs="Arial"/>
          <w:b/>
          <w:bCs/>
        </w:rPr>
        <w:t>, Toronto District School Board, Canada</w:t>
      </w:r>
    </w:p>
    <w:p w:rsidR="00317CA1" w:rsidRDefault="00317CA1" w:rsidP="00317CA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317CA1" w:rsidRPr="00F3059A" w:rsidRDefault="00317CA1" w:rsidP="00317CA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317CA1" w:rsidRPr="00F3059A" w:rsidRDefault="00317CA1" w:rsidP="00317CA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 xml:space="preserve">CORE VIRTUE: </w:t>
      </w:r>
      <w:proofErr w:type="spellStart"/>
      <w:r w:rsidRPr="00F3059A">
        <w:rPr>
          <w:rFonts w:ascii="Arial" w:hAnsi="Arial" w:cs="Arial"/>
          <w:b/>
          <w:bCs/>
        </w:rPr>
        <w:t>TRANSCENDANCE</w:t>
      </w:r>
      <w:proofErr w:type="spellEnd"/>
    </w:p>
    <w:p w:rsidR="00317CA1" w:rsidRPr="00F3059A" w:rsidRDefault="00317CA1" w:rsidP="00317CA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F3059A">
        <w:rPr>
          <w:rFonts w:ascii="Arial" w:hAnsi="Arial" w:cs="Arial"/>
          <w:b/>
          <w:bCs/>
        </w:rPr>
        <w:t>forging</w:t>
      </w:r>
      <w:proofErr w:type="gramEnd"/>
      <w:r w:rsidRPr="00F3059A">
        <w:rPr>
          <w:rFonts w:ascii="Arial" w:hAnsi="Arial" w:cs="Arial"/>
          <w:b/>
          <w:bCs/>
        </w:rPr>
        <w:t xml:space="preserve"> connections to the larger universe and providing meaning</w:t>
      </w:r>
    </w:p>
    <w:p w:rsidR="00317CA1" w:rsidRDefault="00317CA1" w:rsidP="00317CA1">
      <w:pPr>
        <w:rPr>
          <w:rFonts w:ascii="Arial" w:hAnsi="Arial" w:cs="Arial"/>
          <w:b/>
          <w:bCs/>
        </w:rPr>
      </w:pPr>
    </w:p>
    <w:p w:rsidR="00317CA1" w:rsidRPr="00F3059A" w:rsidRDefault="00317CA1" w:rsidP="0031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V. Spirituality [religiousness, faith, purpose]: </w:t>
      </w:r>
      <w:r w:rsidRPr="00F3059A">
        <w:rPr>
          <w:rFonts w:ascii="Arial" w:hAnsi="Arial" w:cs="Arial"/>
        </w:rPr>
        <w:t>Spirituality is a universal part of human experience involving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knowledge of one’s place within the larger scheme of things. It can include but is not limited to religious belief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and practice. Spirituality affords us an awareness of the sacred in everyday life, a sense of comfort in the face of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adversity, and the experience of transcending the ordinary to reach something fundamental.</w:t>
      </w:r>
    </w:p>
    <w:p w:rsidR="00317CA1" w:rsidRPr="00F3059A" w:rsidRDefault="00317CA1" w:rsidP="0031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much: </w:t>
      </w:r>
      <w:r w:rsidRPr="00F3059A">
        <w:rPr>
          <w:rFonts w:ascii="Arial" w:hAnsi="Arial" w:cs="Arial"/>
        </w:rPr>
        <w:t>fanaticism</w:t>
      </w:r>
    </w:p>
    <w:p w:rsidR="00317CA1" w:rsidRPr="00F3059A" w:rsidRDefault="00317CA1" w:rsidP="00317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little: </w:t>
      </w:r>
      <w:r w:rsidRPr="00F3059A">
        <w:rPr>
          <w:rFonts w:ascii="Arial" w:hAnsi="Arial" w:cs="Arial"/>
        </w:rPr>
        <w:t>anomie</w:t>
      </w:r>
    </w:p>
    <w:p w:rsidR="00317CA1" w:rsidRPr="00F3059A" w:rsidRDefault="00317CA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>Movies: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1. </w:t>
      </w:r>
      <w:r w:rsidRPr="00F3059A">
        <w:rPr>
          <w:rFonts w:ascii="Arial" w:hAnsi="Arial" w:cs="Arial"/>
          <w:i/>
          <w:iCs/>
        </w:rPr>
        <w:t xml:space="preserve">Contact </w:t>
      </w:r>
      <w:r w:rsidRPr="00F3059A">
        <w:rPr>
          <w:rFonts w:ascii="Arial" w:hAnsi="Arial" w:cs="Arial"/>
        </w:rPr>
        <w:t xml:space="preserve">(1997) – </w:t>
      </w:r>
      <w:proofErr w:type="spellStart"/>
      <w:r w:rsidRPr="00F3059A">
        <w:rPr>
          <w:rFonts w:ascii="Arial" w:hAnsi="Arial" w:cs="Arial"/>
        </w:rPr>
        <w:t>Dr.</w:t>
      </w:r>
      <w:proofErr w:type="spellEnd"/>
      <w:r w:rsidRPr="00F3059A">
        <w:rPr>
          <w:rFonts w:ascii="Arial" w:hAnsi="Arial" w:cs="Arial"/>
        </w:rPr>
        <w:t xml:space="preserve"> Eleanor </w:t>
      </w:r>
      <w:proofErr w:type="spellStart"/>
      <w:r w:rsidRPr="00F3059A">
        <w:rPr>
          <w:rFonts w:ascii="Arial" w:hAnsi="Arial" w:cs="Arial"/>
        </w:rPr>
        <w:t>Arroway</w:t>
      </w:r>
      <w:proofErr w:type="spellEnd"/>
      <w:r w:rsidRPr="00F3059A">
        <w:rPr>
          <w:rFonts w:ascii="Arial" w:hAnsi="Arial" w:cs="Arial"/>
        </w:rPr>
        <w:t xml:space="preserve"> is a scientist working for the Search for </w:t>
      </w:r>
      <w:proofErr w:type="spellStart"/>
      <w:r w:rsidRPr="00F3059A">
        <w:rPr>
          <w:rFonts w:ascii="Arial" w:hAnsi="Arial" w:cs="Arial"/>
        </w:rPr>
        <w:t>Extraterrestrial</w:t>
      </w:r>
      <w:proofErr w:type="spellEnd"/>
      <w:r w:rsidRPr="00F3059A">
        <w:rPr>
          <w:rFonts w:ascii="Arial" w:hAnsi="Arial" w:cs="Arial"/>
        </w:rPr>
        <w:t xml:space="preserve"> Intelligence. When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she discovers a signal from a faraway star, it throws society into turmoil as the age-old conflict between reason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and belief erupts. </w:t>
      </w:r>
      <w:proofErr w:type="spellStart"/>
      <w:r w:rsidRPr="00F3059A">
        <w:rPr>
          <w:rFonts w:ascii="Arial" w:hAnsi="Arial" w:cs="Arial"/>
        </w:rPr>
        <w:t>Dr.</w:t>
      </w:r>
      <w:proofErr w:type="spellEnd"/>
      <w:r w:rsidRPr="00F3059A">
        <w:rPr>
          <w:rFonts w:ascii="Arial" w:hAnsi="Arial" w:cs="Arial"/>
        </w:rPr>
        <w:t xml:space="preserve"> </w:t>
      </w:r>
      <w:proofErr w:type="spellStart"/>
      <w:r w:rsidRPr="00F3059A">
        <w:rPr>
          <w:rFonts w:ascii="Arial" w:hAnsi="Arial" w:cs="Arial"/>
        </w:rPr>
        <w:t>Arroway</w:t>
      </w:r>
      <w:proofErr w:type="spellEnd"/>
      <w:r w:rsidRPr="00F3059A">
        <w:rPr>
          <w:rFonts w:ascii="Arial" w:hAnsi="Arial" w:cs="Arial"/>
        </w:rPr>
        <w:t xml:space="preserve"> must reconcile her commitment to science with her rocky relationship to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spirituality and with the pain of her past.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2. </w:t>
      </w:r>
      <w:r w:rsidRPr="00F3059A">
        <w:rPr>
          <w:rFonts w:ascii="Arial" w:hAnsi="Arial" w:cs="Arial"/>
          <w:i/>
          <w:iCs/>
        </w:rPr>
        <w:t xml:space="preserve">The Apostle </w:t>
      </w:r>
      <w:r w:rsidRPr="00F3059A">
        <w:rPr>
          <w:rFonts w:ascii="Arial" w:hAnsi="Arial" w:cs="Arial"/>
        </w:rPr>
        <w:t>(1997) – When a God-fearing preacher from Texas discovers that his wife is having an affair, he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responds by assaulting the interloper and plunging him into a coma. His run from the law takes him on a journey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to Louisiana and forces him to confront his own spiritual problems. The director steadfastly refuses to condemn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or vindicate his character, leaving it up to the audience to decide the true depth of his faith and the true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significance of his actions.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3. </w:t>
      </w:r>
      <w:r w:rsidRPr="00F3059A">
        <w:rPr>
          <w:rFonts w:ascii="Arial" w:hAnsi="Arial" w:cs="Arial"/>
          <w:i/>
          <w:iCs/>
        </w:rPr>
        <w:t xml:space="preserve">Priest </w:t>
      </w:r>
      <w:r w:rsidRPr="00F3059A">
        <w:rPr>
          <w:rFonts w:ascii="Arial" w:hAnsi="Arial" w:cs="Arial"/>
        </w:rPr>
        <w:t xml:space="preserve">(1994—British) – Fr. Greg </w:t>
      </w:r>
      <w:proofErr w:type="spellStart"/>
      <w:r w:rsidRPr="00F3059A">
        <w:rPr>
          <w:rFonts w:ascii="Arial" w:hAnsi="Arial" w:cs="Arial"/>
        </w:rPr>
        <w:t>Plinkington</w:t>
      </w:r>
      <w:proofErr w:type="spellEnd"/>
      <w:r w:rsidRPr="00F3059A">
        <w:rPr>
          <w:rFonts w:ascii="Arial" w:hAnsi="Arial" w:cs="Arial"/>
        </w:rPr>
        <w:t xml:space="preserve"> lives two lives, one as a conservative Catholic priest and the other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as a gay man with a lover. When a girl in his confessional tells him of sexual abuse at the hands of her father, his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frustration with the laws of the Catholic Church boils over and he must reconcile his inner beliefs with the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tenants of his doctrinal faith.</w:t>
      </w: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4. </w:t>
      </w:r>
      <w:r w:rsidRPr="00F3059A">
        <w:rPr>
          <w:rFonts w:ascii="Arial" w:hAnsi="Arial" w:cs="Arial"/>
          <w:i/>
          <w:iCs/>
        </w:rPr>
        <w:t xml:space="preserve">What the Bleep Do We Know!? (2004)- </w:t>
      </w:r>
      <w:r w:rsidRPr="00F3059A">
        <w:rPr>
          <w:rFonts w:ascii="Arial" w:hAnsi="Arial" w:cs="Arial"/>
        </w:rPr>
        <w:t>A documentary-style film which integrates interviews, computer-animated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graphics, and a narrative that links spirituality with quantum physics and consciousness. The documentary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surrounds a deaf female photographer who encounters emotional and existential obstructions in her life. She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gradually comes to nourish the idea that individual and group consciousness can influence the material world.</w:t>
      </w:r>
    </w:p>
    <w:p w:rsidR="00317CA1" w:rsidRPr="00F3059A" w:rsidRDefault="00317CA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F3059A">
        <w:rPr>
          <w:rFonts w:ascii="Arial" w:hAnsi="Arial" w:cs="Arial"/>
          <w:b/>
          <w:bCs/>
          <w:i/>
          <w:iCs/>
        </w:rPr>
        <w:t>Suggested</w:t>
      </w:r>
      <w:r w:rsidR="00317CA1">
        <w:rPr>
          <w:rFonts w:ascii="Arial" w:hAnsi="Arial" w:cs="Arial"/>
          <w:b/>
          <w:bCs/>
          <w:i/>
          <w:iCs/>
        </w:rPr>
        <w:t xml:space="preserve"> </w:t>
      </w:r>
      <w:r w:rsidRPr="00F3059A">
        <w:rPr>
          <w:rFonts w:ascii="Arial" w:hAnsi="Arial" w:cs="Arial"/>
          <w:b/>
          <w:bCs/>
          <w:i/>
          <w:iCs/>
        </w:rPr>
        <w:t>Actions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1. Spend some time every day in at least one activity that connects you with a higher power or reminds you where you fit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in the large scheme of things. Be mindful of your place in the larger context of life.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2. Spend ten minutes daily in breathing deeply, relaxing, and meditating (emptying the mind of thoughts by focusing on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breathing). Observe how you feel afterward.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3. Mindfully worship and/or pray for five to ten minutes a day. Remove all distractions from your environment during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this time.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lastRenderedPageBreak/>
        <w:t>4. Read a spiritual or religious book every day for half an hour. Discuss the ideas in it with someone you trust and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respect.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5. Explore different religions – take a class, research over the internet, meet a person of different religion, or attend the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congregation of a different religion. Speak to people who practice this faith and get to know them as people.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6. Note whether your everyday actions have any spiritual significance. If not, think ways of connecting the two.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7. Explore a fundamental purpose of your life and link your actions to it. Each day, ask yourself if you accomplished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anything toward fulfilling this purpose</w:t>
      </w:r>
      <w:r w:rsidR="00317CA1">
        <w:rPr>
          <w:rFonts w:ascii="Arial" w:hAnsi="Arial" w:cs="Arial"/>
        </w:rPr>
        <w:t>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8. Reflect how your spiritual beliefs and practices connect you with others authentically. Find spiritual similarities with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those you love.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9. Make a weekly list of experiences that forge strong connections in your life. Be mindful of how you fit into the lives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of others.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10. Write your eulogy or ask your loved ones how they would like to remember you. Do they mention your signature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strengths?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11. Build relationships with people who appreciate your ability to help them identify and solve problems. Rely on them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and let them rely on you. Be aware of the level of trust in your relationships.</w:t>
      </w:r>
    </w:p>
    <w:p w:rsidR="00790912" w:rsidRPr="00F3059A" w:rsidRDefault="00EC6EE1" w:rsidP="00317CA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12. Connect with people and organizations that enhance your signature strengths. Think of ways to use your strengths to</w:t>
      </w:r>
      <w:r w:rsidR="00317CA1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make people more aware of their own spirituality.</w:t>
      </w:r>
    </w:p>
    <w:sectPr w:rsidR="00790912" w:rsidRPr="00F3059A" w:rsidSect="001B45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2F0"/>
    <w:multiLevelType w:val="multilevel"/>
    <w:tmpl w:val="730CF5F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47"/>
        </w:tabs>
        <w:ind w:left="2098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098"/>
        </w:tabs>
        <w:ind w:left="3119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1"/>
    <w:rsid w:val="001B45B6"/>
    <w:rsid w:val="00317CA1"/>
    <w:rsid w:val="00385895"/>
    <w:rsid w:val="00455390"/>
    <w:rsid w:val="004D1F81"/>
    <w:rsid w:val="006976F7"/>
    <w:rsid w:val="0070436B"/>
    <w:rsid w:val="00771F85"/>
    <w:rsid w:val="0078761E"/>
    <w:rsid w:val="00790912"/>
    <w:rsid w:val="007969F7"/>
    <w:rsid w:val="009871D5"/>
    <w:rsid w:val="009B3F1B"/>
    <w:rsid w:val="009C0E3C"/>
    <w:rsid w:val="00A01FC0"/>
    <w:rsid w:val="00AE15C5"/>
    <w:rsid w:val="00EC6EE1"/>
    <w:rsid w:val="00F059DE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Bothma</dc:creator>
  <cp:lastModifiedBy>Brenda Eckstein</cp:lastModifiedBy>
  <cp:revision>2</cp:revision>
  <dcterms:created xsi:type="dcterms:W3CDTF">2018-05-10T14:30:00Z</dcterms:created>
  <dcterms:modified xsi:type="dcterms:W3CDTF">2018-05-10T14:30:00Z</dcterms:modified>
</cp:coreProperties>
</file>