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C5" w:rsidRPr="00F3059A" w:rsidRDefault="00AE15C5" w:rsidP="00AE1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3059A">
        <w:rPr>
          <w:rFonts w:ascii="Arial" w:hAnsi="Arial" w:cs="Arial"/>
          <w:b/>
          <w:bCs/>
          <w:sz w:val="36"/>
        </w:rPr>
        <w:t>Ways to Use VIA Character Strengths</w:t>
      </w:r>
    </w:p>
    <w:p w:rsidR="00AE15C5" w:rsidRPr="00F3059A" w:rsidRDefault="00AE15C5" w:rsidP="00AE1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Tayyab</w:t>
      </w:r>
      <w:proofErr w:type="spellEnd"/>
      <w:r w:rsidRPr="00F3059A">
        <w:rPr>
          <w:rFonts w:ascii="Arial" w:hAnsi="Arial" w:cs="Arial"/>
          <w:b/>
          <w:bCs/>
        </w:rPr>
        <w:t xml:space="preserve"> Rashid, Ph.D., University of Toronto Scarborough, Canada</w:t>
      </w:r>
    </w:p>
    <w:p w:rsidR="00AE15C5" w:rsidRPr="00F3059A" w:rsidRDefault="00AE15C5" w:rsidP="00AE1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Afroze</w:t>
      </w:r>
      <w:proofErr w:type="spellEnd"/>
      <w:r w:rsidRPr="00F3059A">
        <w:rPr>
          <w:rFonts w:ascii="Arial" w:hAnsi="Arial" w:cs="Arial"/>
          <w:b/>
          <w:bCs/>
        </w:rPr>
        <w:t xml:space="preserve"> </w:t>
      </w:r>
      <w:proofErr w:type="spellStart"/>
      <w:r w:rsidRPr="00F3059A">
        <w:rPr>
          <w:rFonts w:ascii="Arial" w:hAnsi="Arial" w:cs="Arial"/>
          <w:b/>
          <w:bCs/>
        </w:rPr>
        <w:t>Anjum</w:t>
      </w:r>
      <w:proofErr w:type="spellEnd"/>
      <w:r w:rsidRPr="00F3059A">
        <w:rPr>
          <w:rFonts w:ascii="Arial" w:hAnsi="Arial" w:cs="Arial"/>
          <w:b/>
          <w:bCs/>
        </w:rPr>
        <w:t xml:space="preserve">, </w:t>
      </w:r>
      <w:proofErr w:type="spellStart"/>
      <w:r w:rsidRPr="00F3059A">
        <w:rPr>
          <w:rFonts w:ascii="Arial" w:hAnsi="Arial" w:cs="Arial"/>
          <w:b/>
          <w:bCs/>
        </w:rPr>
        <w:t>Psych.D</w:t>
      </w:r>
      <w:proofErr w:type="spellEnd"/>
      <w:r w:rsidRPr="00F3059A">
        <w:rPr>
          <w:rFonts w:ascii="Arial" w:hAnsi="Arial" w:cs="Arial"/>
          <w:b/>
          <w:bCs/>
        </w:rPr>
        <w:t>, Toronto District School Board, Canada</w:t>
      </w:r>
    </w:p>
    <w:p w:rsidR="00AE15C5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E15C5" w:rsidRPr="00F3059A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E15C5" w:rsidRPr="00F3059A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 xml:space="preserve">CORE VIRTUE: </w:t>
      </w:r>
      <w:proofErr w:type="spellStart"/>
      <w:r w:rsidRPr="00F3059A">
        <w:rPr>
          <w:rFonts w:ascii="Arial" w:hAnsi="Arial" w:cs="Arial"/>
          <w:b/>
          <w:bCs/>
        </w:rPr>
        <w:t>TRANSCENDANCE</w:t>
      </w:r>
      <w:proofErr w:type="spellEnd"/>
    </w:p>
    <w:p w:rsidR="00AE15C5" w:rsidRPr="00F3059A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F3059A">
        <w:rPr>
          <w:rFonts w:ascii="Arial" w:hAnsi="Arial" w:cs="Arial"/>
          <w:b/>
          <w:bCs/>
        </w:rPr>
        <w:t>forging</w:t>
      </w:r>
      <w:proofErr w:type="gramEnd"/>
      <w:r w:rsidRPr="00F3059A">
        <w:rPr>
          <w:rFonts w:ascii="Arial" w:hAnsi="Arial" w:cs="Arial"/>
          <w:b/>
          <w:bCs/>
        </w:rPr>
        <w:t xml:space="preserve"> connections to the larger universe and providing meaning</w:t>
      </w:r>
    </w:p>
    <w:p w:rsidR="00AE15C5" w:rsidRDefault="00AE15C5">
      <w:pPr>
        <w:rPr>
          <w:rFonts w:ascii="Arial" w:hAnsi="Arial" w:cs="Arial"/>
          <w:b/>
          <w:bCs/>
        </w:rPr>
      </w:pPr>
    </w:p>
    <w:p w:rsidR="00AE15C5" w:rsidRPr="00F3059A" w:rsidRDefault="00AE15C5" w:rsidP="00AE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II. Gratitude: </w:t>
      </w:r>
      <w:r w:rsidRPr="00F3059A">
        <w:rPr>
          <w:rFonts w:ascii="Arial" w:hAnsi="Arial" w:cs="Arial"/>
        </w:rPr>
        <w:t>Gratitude is an awareness of and thankfulness for the good things in one’s life. Grateful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individuals take time to express thanks and contemplate all that they have been given in life. Gratitude can be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directed at a specific person, at a Divinity, or simply expressed outwardly for the mere fact of existence. This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strength is a </w:t>
      </w:r>
      <w:proofErr w:type="spellStart"/>
      <w:r w:rsidRPr="00F3059A">
        <w:rPr>
          <w:rFonts w:ascii="Arial" w:hAnsi="Arial" w:cs="Arial"/>
        </w:rPr>
        <w:t>mindset</w:t>
      </w:r>
      <w:proofErr w:type="spellEnd"/>
      <w:r w:rsidRPr="00F3059A">
        <w:rPr>
          <w:rFonts w:ascii="Arial" w:hAnsi="Arial" w:cs="Arial"/>
        </w:rPr>
        <w:t xml:space="preserve"> of appreciation and goodwill for the benefits derived from other people.</w:t>
      </w:r>
    </w:p>
    <w:p w:rsidR="00AE15C5" w:rsidRPr="00F3059A" w:rsidRDefault="00AE15C5" w:rsidP="00AE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much: </w:t>
      </w:r>
      <w:r w:rsidRPr="00F3059A">
        <w:rPr>
          <w:rFonts w:ascii="Arial" w:hAnsi="Arial" w:cs="Arial"/>
        </w:rPr>
        <w:t>ingratiation</w:t>
      </w:r>
    </w:p>
    <w:p w:rsidR="00AE15C5" w:rsidRPr="00F3059A" w:rsidRDefault="00AE15C5" w:rsidP="00AE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little: </w:t>
      </w:r>
      <w:r w:rsidRPr="00F3059A">
        <w:rPr>
          <w:rFonts w:ascii="Arial" w:hAnsi="Arial" w:cs="Arial"/>
        </w:rPr>
        <w:t>entitlement</w:t>
      </w:r>
    </w:p>
    <w:p w:rsidR="00AE15C5" w:rsidRDefault="00AE15C5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>Movies: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1. </w:t>
      </w:r>
      <w:proofErr w:type="spellStart"/>
      <w:r w:rsidRPr="00F3059A">
        <w:rPr>
          <w:rFonts w:ascii="Arial" w:hAnsi="Arial" w:cs="Arial"/>
          <w:i/>
          <w:iCs/>
        </w:rPr>
        <w:t>Amélie</w:t>
      </w:r>
      <w:proofErr w:type="spellEnd"/>
      <w:r w:rsidRPr="00F3059A">
        <w:rPr>
          <w:rFonts w:ascii="Arial" w:hAnsi="Arial" w:cs="Arial"/>
          <w:i/>
          <w:iCs/>
        </w:rPr>
        <w:t xml:space="preserve"> </w:t>
      </w:r>
      <w:r w:rsidRPr="00F3059A">
        <w:rPr>
          <w:rFonts w:ascii="Arial" w:hAnsi="Arial" w:cs="Arial"/>
        </w:rPr>
        <w:t xml:space="preserve">(2001-French) – </w:t>
      </w:r>
      <w:proofErr w:type="spellStart"/>
      <w:r w:rsidRPr="00F3059A">
        <w:rPr>
          <w:rFonts w:ascii="Arial" w:hAnsi="Arial" w:cs="Arial"/>
        </w:rPr>
        <w:t>Amélie</w:t>
      </w:r>
      <w:proofErr w:type="spellEnd"/>
      <w:r w:rsidRPr="00F3059A">
        <w:rPr>
          <w:rFonts w:ascii="Arial" w:hAnsi="Arial" w:cs="Arial"/>
        </w:rPr>
        <w:t xml:space="preserve"> approaches life with an inquisitive nature and an appreciation for the little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things in life. She befriends one shut-in </w:t>
      </w:r>
      <w:proofErr w:type="spellStart"/>
      <w:r w:rsidRPr="00F3059A">
        <w:rPr>
          <w:rFonts w:ascii="Arial" w:hAnsi="Arial" w:cs="Arial"/>
        </w:rPr>
        <w:t>neighbor</w:t>
      </w:r>
      <w:proofErr w:type="spellEnd"/>
      <w:r w:rsidRPr="00F3059A">
        <w:rPr>
          <w:rFonts w:ascii="Arial" w:hAnsi="Arial" w:cs="Arial"/>
        </w:rPr>
        <w:t>, plays pranks, and returns lost items to their owners. Gradually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this charming character begins to realize that her life becomes richer by reaching out to others and pursuing the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details that spark her interest.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i/>
          <w:iCs/>
        </w:rPr>
        <w:t xml:space="preserve">2. Sunshine </w:t>
      </w:r>
      <w:r w:rsidRPr="00F3059A">
        <w:rPr>
          <w:rFonts w:ascii="Arial" w:hAnsi="Arial" w:cs="Arial"/>
        </w:rPr>
        <w:t>(1999) – This epic film follows the lives of three generations of Jewish men living in Hungary. The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movie does a great job of showing family similarities as the characters struggle with political turmoil, persecution,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and family hardships. The grandson’s ultimate realization is his gratitude toward his family and his heritage,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regardless of the pain of the past.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i/>
          <w:iCs/>
        </w:rPr>
        <w:t xml:space="preserve">3. Fried Green Tomatoes </w:t>
      </w:r>
      <w:r w:rsidRPr="00F3059A">
        <w:rPr>
          <w:rFonts w:ascii="Arial" w:hAnsi="Arial" w:cs="Arial"/>
        </w:rPr>
        <w:t>(1991) – Evelyn Couch is a housewife living in an unhappy marriage. While visiting a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nursing home she meets and befriends Ninny </w:t>
      </w:r>
      <w:proofErr w:type="spellStart"/>
      <w:r w:rsidRPr="00F3059A">
        <w:rPr>
          <w:rFonts w:ascii="Arial" w:hAnsi="Arial" w:cs="Arial"/>
        </w:rPr>
        <w:t>Threadgoode</w:t>
      </w:r>
      <w:proofErr w:type="spellEnd"/>
      <w:r w:rsidRPr="00F3059A">
        <w:rPr>
          <w:rFonts w:ascii="Arial" w:hAnsi="Arial" w:cs="Arial"/>
        </w:rPr>
        <w:t>, whose stories inspire Evelyn to approach her own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life with greater assertiveness and compassion. Gratitude is a central theme in the film, as the characters are able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to change each other’s lives for the better.</w:t>
      </w:r>
    </w:p>
    <w:p w:rsidR="00AE15C5" w:rsidRDefault="00AE15C5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Songs: </w:t>
      </w:r>
      <w:r w:rsidRPr="00F3059A">
        <w:rPr>
          <w:rFonts w:ascii="Arial" w:hAnsi="Arial" w:cs="Arial"/>
        </w:rPr>
        <w:t>Strength, Courage, Wisdom, Isn't She Lovely (Stevie Wonder)</w:t>
      </w:r>
    </w:p>
    <w:p w:rsidR="00AE15C5" w:rsidRPr="00F3059A" w:rsidRDefault="00AE15C5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F3059A">
        <w:rPr>
          <w:rFonts w:ascii="Arial" w:hAnsi="Arial" w:cs="Arial"/>
          <w:b/>
          <w:bCs/>
          <w:i/>
          <w:iCs/>
        </w:rPr>
        <w:t>Suggested</w:t>
      </w:r>
      <w:r w:rsidR="00AE15C5">
        <w:rPr>
          <w:rFonts w:ascii="Arial" w:hAnsi="Arial" w:cs="Arial"/>
          <w:b/>
          <w:bCs/>
          <w:i/>
          <w:iCs/>
        </w:rPr>
        <w:t xml:space="preserve"> </w:t>
      </w:r>
      <w:r w:rsidRPr="00F3059A">
        <w:rPr>
          <w:rFonts w:ascii="Arial" w:hAnsi="Arial" w:cs="Arial"/>
          <w:b/>
          <w:bCs/>
          <w:i/>
          <w:iCs/>
        </w:rPr>
        <w:t>Actions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1. Consider how this statement describes your usual mental state: “A still mind sees what is good and present. An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anxious mind sees what is negative and missing.” </w:t>
      </w:r>
      <w:proofErr w:type="gramStart"/>
      <w:r w:rsidRPr="00F3059A">
        <w:rPr>
          <w:rFonts w:ascii="Arial" w:hAnsi="Arial" w:cs="Arial"/>
        </w:rPr>
        <w:t>Still your mind for five minutes in the morning and in the evening.</w:t>
      </w:r>
      <w:proofErr w:type="gramEnd"/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2. Count three of your blessings (good things that happened to you) before going to bed every day. Write them down in a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bedside journal for when you feel down or blue.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3. Express your gratitude to someone whom you haven’t told before, preferably through a personal visit. Observe how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your </w:t>
      </w:r>
      <w:proofErr w:type="gramStart"/>
      <w:r w:rsidRPr="00F3059A">
        <w:rPr>
          <w:rFonts w:ascii="Arial" w:hAnsi="Arial" w:cs="Arial"/>
        </w:rPr>
        <w:t>expression of gratitude makes both of you feel</w:t>
      </w:r>
      <w:proofErr w:type="gramEnd"/>
      <w:r w:rsidRPr="00F3059A">
        <w:rPr>
          <w:rFonts w:ascii="Arial" w:hAnsi="Arial" w:cs="Arial"/>
        </w:rPr>
        <w:t>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4. Every day, select one small yet important thing that you take for granted. Work on being mindful of this thing in the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future.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lastRenderedPageBreak/>
        <w:t>5. Notice how many times you say thanks and whether you mean it every time. Notice when people do small gestures of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kindness, such as holding a door for you, and be sure to thank them.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6. Express gratitude by leaving a note for someone who has helped your intellectual growth, such as a high school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teacher. Explain how their influence helped shape who you are today.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7. Express thanks to all who contributed to your success, no matter how small their contribution might have been. Be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aware of the degree to which your success is a product of others’ helpful influence in addition to your own hard work.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8. Express thanks without just saying “thanks”-- be more descriptive and specific (e.g., “I appreciate your prudent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advice”). Observe how people notice detailed gratitude as opposed to a simple, reactionary “thanks.”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9. Write three apprehensions that you feel when you wake every morning. </w:t>
      </w:r>
      <w:proofErr w:type="gramStart"/>
      <w:r w:rsidRPr="00F3059A">
        <w:rPr>
          <w:rFonts w:ascii="Arial" w:hAnsi="Arial" w:cs="Arial"/>
        </w:rPr>
        <w:t>Before you go to bed, write three good things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that happened to you and why.</w:t>
      </w:r>
      <w:proofErr w:type="gramEnd"/>
      <w:r w:rsidRPr="00F3059A">
        <w:rPr>
          <w:rFonts w:ascii="Arial" w:hAnsi="Arial" w:cs="Arial"/>
        </w:rPr>
        <w:t xml:space="preserve"> Then evaluate your apprehensions in light of the good things.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10. Set aside at least ten minutes every day to </w:t>
      </w:r>
      <w:proofErr w:type="spellStart"/>
      <w:r w:rsidRPr="00F3059A">
        <w:rPr>
          <w:rFonts w:ascii="Arial" w:hAnsi="Arial" w:cs="Arial"/>
        </w:rPr>
        <w:t>savor</w:t>
      </w:r>
      <w:proofErr w:type="spellEnd"/>
      <w:r w:rsidRPr="00F3059A">
        <w:rPr>
          <w:rFonts w:ascii="Arial" w:hAnsi="Arial" w:cs="Arial"/>
        </w:rPr>
        <w:t xml:space="preserve"> a pleasant experience. Decide to withhold any conscious decisions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during these ten minutes.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11. Write a letter to an editor about an event that brought your community closer. Express </w:t>
      </w:r>
      <w:proofErr w:type="gramStart"/>
      <w:r w:rsidRPr="00F3059A">
        <w:rPr>
          <w:rFonts w:ascii="Arial" w:hAnsi="Arial" w:cs="Arial"/>
        </w:rPr>
        <w:t>your</w:t>
      </w:r>
      <w:proofErr w:type="gramEnd"/>
      <w:r w:rsidRPr="00F3059A">
        <w:rPr>
          <w:rFonts w:ascii="Arial" w:hAnsi="Arial" w:cs="Arial"/>
        </w:rPr>
        <w:t xml:space="preserve"> thanks to the organizers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of the event.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12. Express gratitude to public officials such as police officers, fire fighters, and postal workers. Be mindful of the people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who work hard, and in some cases put themselves at risk, to ensure your safety and comfort.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13. Before eating, think of all people who have contributed to what you are eating. Do this at least once a week.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14. </w:t>
      </w:r>
      <w:proofErr w:type="gramStart"/>
      <w:r w:rsidRPr="00F3059A">
        <w:rPr>
          <w:rFonts w:ascii="Arial" w:hAnsi="Arial" w:cs="Arial"/>
        </w:rPr>
        <w:t>Over</w:t>
      </w:r>
      <w:proofErr w:type="gramEnd"/>
      <w:r w:rsidRPr="00F3059A">
        <w:rPr>
          <w:rFonts w:ascii="Arial" w:hAnsi="Arial" w:cs="Arial"/>
        </w:rPr>
        <w:t xml:space="preserve"> dinner, talk with your loved ones about two good things that happened to them during the day. After you finish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eating, express your gratitude for the conversation and company.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15. Think of three past adversities and identify three serendipitous goods they led to. Be aware that you can feel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retrospective gratitude even when you were upset at the time.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16. Reminisce about your best moments of recognition, achievement, praise, and connection. Remember all of the people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who helped you get there.</w:t>
      </w:r>
    </w:p>
    <w:p w:rsidR="00AE15C5" w:rsidRDefault="00AE15C5">
      <w:pPr>
        <w:rPr>
          <w:rFonts w:ascii="Arial" w:hAnsi="Arial" w:cs="Arial"/>
        </w:rPr>
      </w:pPr>
      <w:bookmarkStart w:id="0" w:name="_GoBack"/>
      <w:bookmarkEnd w:id="0"/>
    </w:p>
    <w:sectPr w:rsidR="00AE15C5" w:rsidSect="001B45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2F0"/>
    <w:multiLevelType w:val="multilevel"/>
    <w:tmpl w:val="730CF5F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47"/>
        </w:tabs>
        <w:ind w:left="2098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098"/>
        </w:tabs>
        <w:ind w:left="3119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1"/>
    <w:rsid w:val="001B45B6"/>
    <w:rsid w:val="00317CA1"/>
    <w:rsid w:val="00385895"/>
    <w:rsid w:val="004D1F81"/>
    <w:rsid w:val="006976F7"/>
    <w:rsid w:val="0070436B"/>
    <w:rsid w:val="00771F85"/>
    <w:rsid w:val="0078761E"/>
    <w:rsid w:val="00790912"/>
    <w:rsid w:val="007969F7"/>
    <w:rsid w:val="009B3F1B"/>
    <w:rsid w:val="009C0E3C"/>
    <w:rsid w:val="00A01FC0"/>
    <w:rsid w:val="00AA1600"/>
    <w:rsid w:val="00AE15C5"/>
    <w:rsid w:val="00EC6EE1"/>
    <w:rsid w:val="00F059DE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Bothma</dc:creator>
  <cp:lastModifiedBy>Wendy Bothma</cp:lastModifiedBy>
  <cp:revision>2</cp:revision>
  <dcterms:created xsi:type="dcterms:W3CDTF">2016-05-04T19:35:00Z</dcterms:created>
  <dcterms:modified xsi:type="dcterms:W3CDTF">2016-05-04T19:35:00Z</dcterms:modified>
</cp:coreProperties>
</file>